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2B4C" w14:textId="300E5FE8" w:rsidR="00254BEA" w:rsidRPr="00897A47" w:rsidRDefault="00897A47">
      <w:pPr>
        <w:pStyle w:val="Heading1"/>
        <w:rPr>
          <w:b/>
          <w:bCs/>
          <w:sz w:val="44"/>
          <w:szCs w:val="44"/>
          <w:u w:val="single"/>
        </w:rPr>
      </w:pPr>
      <w:bookmarkStart w:id="0" w:name="X8e0a4c182944bc89d1e6c5fc72ecbb2b002df65"/>
      <w:r>
        <w:t xml:space="preserve">                </w:t>
      </w:r>
      <w:r w:rsidRPr="00897A47">
        <w:rPr>
          <w:b/>
          <w:bCs/>
          <w:sz w:val="44"/>
          <w:szCs w:val="44"/>
          <w:u w:val="single"/>
        </w:rPr>
        <w:t xml:space="preserve">GCSE AQA </w:t>
      </w:r>
      <w:r w:rsidR="003D2F43" w:rsidRPr="00897A47">
        <w:rPr>
          <w:b/>
          <w:bCs/>
          <w:sz w:val="44"/>
          <w:szCs w:val="44"/>
          <w:u w:val="single"/>
        </w:rPr>
        <w:t xml:space="preserve">Year 11 </w:t>
      </w:r>
      <w:r w:rsidRPr="00897A47">
        <w:rPr>
          <w:b/>
          <w:bCs/>
          <w:sz w:val="44"/>
          <w:szCs w:val="44"/>
          <w:u w:val="single"/>
        </w:rPr>
        <w:t xml:space="preserve">Business Revision </w:t>
      </w:r>
    </w:p>
    <w:p w14:paraId="16F56890" w14:textId="77777777" w:rsidR="000B6E4D" w:rsidRDefault="000B6E4D" w:rsidP="000B6E4D">
      <w:pPr>
        <w:pStyle w:val="BodyText"/>
      </w:pPr>
    </w:p>
    <w:p w14:paraId="6FEE56C6" w14:textId="77777777" w:rsidR="000B6E4D" w:rsidRPr="000B6E4D" w:rsidRDefault="000B6E4D" w:rsidP="000B6E4D">
      <w:pPr>
        <w:pStyle w:val="Heading2"/>
        <w:rPr>
          <w:b/>
          <w:bCs/>
          <w:lang w:val="en-GB"/>
        </w:rPr>
      </w:pPr>
      <w:r w:rsidRPr="000B6E4D">
        <w:rPr>
          <w:b/>
          <w:bCs/>
          <w:lang w:val="en-GB"/>
        </w:rPr>
        <w:t>For your mock exams, you should revise all units. The paper will include multiple-choice questions (MCQs) as well as 2-, 4-, 6-, 9-, and 12-mark questions. You will have 1 hour and 45 minutes to complete the exam."</w:t>
      </w:r>
    </w:p>
    <w:p w14:paraId="66A5569D" w14:textId="77777777" w:rsidR="003D2F43" w:rsidRPr="003D2F43" w:rsidRDefault="003D2F43" w:rsidP="003D2F43">
      <w:pPr>
        <w:pStyle w:val="BodyText"/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343"/>
        <w:gridCol w:w="3476"/>
        <w:gridCol w:w="2541"/>
      </w:tblGrid>
      <w:tr w:rsidR="00254BEA" w14:paraId="6EAA6AD2" w14:textId="77777777" w:rsidTr="003D2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20" w:type="dxa"/>
          </w:tcPr>
          <w:p w14:paraId="148AF182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Specification Area</w:t>
            </w:r>
          </w:p>
        </w:tc>
        <w:tc>
          <w:tcPr>
            <w:tcW w:w="3557" w:type="dxa"/>
          </w:tcPr>
          <w:p w14:paraId="315FB51C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Key Content Summary</w:t>
            </w:r>
          </w:p>
        </w:tc>
        <w:tc>
          <w:tcPr>
            <w:tcW w:w="2599" w:type="dxa"/>
          </w:tcPr>
          <w:p w14:paraId="3FB3C572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Useful Links</w:t>
            </w:r>
          </w:p>
        </w:tc>
      </w:tr>
      <w:tr w:rsidR="00254BEA" w:rsidRPr="003D2F43" w14:paraId="6C108F3B" w14:textId="77777777" w:rsidTr="003D2F43">
        <w:tc>
          <w:tcPr>
            <w:tcW w:w="3420" w:type="dxa"/>
          </w:tcPr>
          <w:p w14:paraId="1AD0F446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3.1 Business in the Real World</w:t>
            </w:r>
          </w:p>
        </w:tc>
        <w:tc>
          <w:tcPr>
            <w:tcW w:w="3557" w:type="dxa"/>
          </w:tcPr>
          <w:p w14:paraId="5D37F02E" w14:textId="77777777" w:rsidR="00254BEA" w:rsidRDefault="0080238D">
            <w:pPr>
              <w:pStyle w:val="Compact"/>
            </w:pPr>
            <w:r>
              <w:t>Purpose of business, entrepreneurship, business ownership types, aims &amp; objectives, stakeholders, location factors, business plans.</w:t>
            </w:r>
          </w:p>
        </w:tc>
        <w:tc>
          <w:tcPr>
            <w:tcW w:w="2599" w:type="dxa"/>
          </w:tcPr>
          <w:p w14:paraId="4605EAE1" w14:textId="77777777" w:rsidR="00254BEA" w:rsidRPr="003D2F43" w:rsidRDefault="0080238D">
            <w:pPr>
              <w:pStyle w:val="Compact"/>
              <w:rPr>
                <w:lang w:val="nl-NL"/>
              </w:rPr>
            </w:pPr>
            <w:r w:rsidRPr="003D2F43">
              <w:rPr>
                <w:lang w:val="nl-NL"/>
              </w:rPr>
              <w:t>Tutor2U: https://www.tutor2u.net/business/reference/3-1-business-in-the-real-world-teacher-powerpoints-for-aqa-gcse-business</w:t>
            </w:r>
          </w:p>
        </w:tc>
      </w:tr>
      <w:tr w:rsidR="00254BEA" w14:paraId="214C8B47" w14:textId="77777777" w:rsidTr="003D2F43">
        <w:tc>
          <w:tcPr>
            <w:tcW w:w="3420" w:type="dxa"/>
          </w:tcPr>
          <w:p w14:paraId="5253ADF0" w14:textId="77777777" w:rsidR="00254BEA" w:rsidRDefault="0080238D">
            <w:pPr>
              <w:pStyle w:val="Compact"/>
            </w:pPr>
            <w:r>
              <w:t>AQA Spec: Business in the Real World</w:t>
            </w:r>
          </w:p>
        </w:tc>
        <w:tc>
          <w:tcPr>
            <w:tcW w:w="3557" w:type="dxa"/>
          </w:tcPr>
          <w:p w14:paraId="6F44B26A" w14:textId="77777777" w:rsidR="00254BEA" w:rsidRDefault="00254BEA">
            <w:pPr>
              <w:pStyle w:val="Compact"/>
            </w:pPr>
          </w:p>
        </w:tc>
        <w:tc>
          <w:tcPr>
            <w:tcW w:w="2599" w:type="dxa"/>
          </w:tcPr>
          <w:p w14:paraId="397D91BB" w14:textId="77777777" w:rsidR="00254BEA" w:rsidRDefault="00254BEA">
            <w:pPr>
              <w:pStyle w:val="Compact"/>
            </w:pPr>
          </w:p>
        </w:tc>
      </w:tr>
      <w:tr w:rsidR="00254BEA" w:rsidRPr="003D2F43" w14:paraId="23A612F8" w14:textId="77777777" w:rsidTr="003D2F43">
        <w:tc>
          <w:tcPr>
            <w:tcW w:w="3420" w:type="dxa"/>
          </w:tcPr>
          <w:p w14:paraId="1087DC31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3.2 Influences on Business</w:t>
            </w:r>
          </w:p>
        </w:tc>
        <w:tc>
          <w:tcPr>
            <w:tcW w:w="3557" w:type="dxa"/>
          </w:tcPr>
          <w:p w14:paraId="4716FC85" w14:textId="77777777" w:rsidR="00254BEA" w:rsidRDefault="0080238D">
            <w:pPr>
              <w:pStyle w:val="Compact"/>
            </w:pPr>
            <w:r>
              <w:t>Technology, ethics/environment, economic climate, globalisation, legislation, competition &amp; risk.</w:t>
            </w:r>
          </w:p>
        </w:tc>
        <w:tc>
          <w:tcPr>
            <w:tcW w:w="2599" w:type="dxa"/>
          </w:tcPr>
          <w:p w14:paraId="57E26769" w14:textId="77777777" w:rsidR="00254BEA" w:rsidRPr="003D2F43" w:rsidRDefault="0080238D">
            <w:pPr>
              <w:pStyle w:val="Compact"/>
              <w:rPr>
                <w:lang w:val="nl-NL"/>
              </w:rPr>
            </w:pPr>
            <w:r w:rsidRPr="003D2F43">
              <w:rPr>
                <w:lang w:val="nl-NL"/>
              </w:rPr>
              <w:t>Tutor2U: https://www.tutor2u.net/search?q=Influences+on+Business+AQA</w:t>
            </w:r>
          </w:p>
        </w:tc>
      </w:tr>
      <w:tr w:rsidR="00254BEA" w14:paraId="798A68FD" w14:textId="77777777" w:rsidTr="003D2F43">
        <w:tc>
          <w:tcPr>
            <w:tcW w:w="3420" w:type="dxa"/>
          </w:tcPr>
          <w:p w14:paraId="3532762E" w14:textId="77777777" w:rsidR="00254BEA" w:rsidRDefault="0080238D">
            <w:pPr>
              <w:pStyle w:val="Compact"/>
            </w:pPr>
            <w:r>
              <w:t>AQA Spec: Influences on Business</w:t>
            </w:r>
          </w:p>
        </w:tc>
        <w:tc>
          <w:tcPr>
            <w:tcW w:w="3557" w:type="dxa"/>
          </w:tcPr>
          <w:p w14:paraId="6BECA47D" w14:textId="77777777" w:rsidR="00254BEA" w:rsidRDefault="00254BEA">
            <w:pPr>
              <w:pStyle w:val="Compact"/>
            </w:pPr>
          </w:p>
        </w:tc>
        <w:tc>
          <w:tcPr>
            <w:tcW w:w="2599" w:type="dxa"/>
          </w:tcPr>
          <w:p w14:paraId="706F512F" w14:textId="77777777" w:rsidR="00254BEA" w:rsidRDefault="00254BEA">
            <w:pPr>
              <w:pStyle w:val="Compact"/>
            </w:pPr>
          </w:p>
        </w:tc>
      </w:tr>
      <w:tr w:rsidR="00254BEA" w14:paraId="0E8C2C7C" w14:textId="77777777" w:rsidTr="003D2F43">
        <w:tc>
          <w:tcPr>
            <w:tcW w:w="3420" w:type="dxa"/>
          </w:tcPr>
          <w:p w14:paraId="4DEAA7EC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3.3 Business Operations</w:t>
            </w:r>
          </w:p>
        </w:tc>
        <w:tc>
          <w:tcPr>
            <w:tcW w:w="3557" w:type="dxa"/>
          </w:tcPr>
          <w:p w14:paraId="3E38E5DF" w14:textId="77777777" w:rsidR="00254BEA" w:rsidRDefault="0080238D">
            <w:pPr>
              <w:pStyle w:val="Compact"/>
            </w:pPr>
            <w:r>
              <w:t>Job/flow production, efficiency, stock control (JIT/JIC), procurement, supply chain, quality, customer service, ICT in ops.</w:t>
            </w:r>
          </w:p>
        </w:tc>
        <w:tc>
          <w:tcPr>
            <w:tcW w:w="2599" w:type="dxa"/>
          </w:tcPr>
          <w:p w14:paraId="27D76D63" w14:textId="77777777" w:rsidR="00254BEA" w:rsidRDefault="0080238D">
            <w:pPr>
              <w:pStyle w:val="Compact"/>
            </w:pPr>
            <w:r>
              <w:t>AQA Spec: Business Operations</w:t>
            </w:r>
          </w:p>
        </w:tc>
      </w:tr>
      <w:tr w:rsidR="00254BEA" w14:paraId="79689F65" w14:textId="77777777" w:rsidTr="003D2F43">
        <w:tc>
          <w:tcPr>
            <w:tcW w:w="3420" w:type="dxa"/>
          </w:tcPr>
          <w:p w14:paraId="32934965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3.4 Human Resources</w:t>
            </w:r>
          </w:p>
        </w:tc>
        <w:tc>
          <w:tcPr>
            <w:tcW w:w="3557" w:type="dxa"/>
          </w:tcPr>
          <w:p w14:paraId="577371F2" w14:textId="77777777" w:rsidR="00254BEA" w:rsidRDefault="0080238D">
            <w:pPr>
              <w:pStyle w:val="Compact"/>
            </w:pPr>
            <w:r>
              <w:t>Org structures, recruitment &amp; selection, motivation (financial &amp; non‑financial), training, retention.</w:t>
            </w:r>
          </w:p>
        </w:tc>
        <w:tc>
          <w:tcPr>
            <w:tcW w:w="2599" w:type="dxa"/>
          </w:tcPr>
          <w:p w14:paraId="02E72AFB" w14:textId="77777777" w:rsidR="00254BEA" w:rsidRDefault="0080238D">
            <w:pPr>
              <w:pStyle w:val="Compact"/>
            </w:pPr>
            <w:r>
              <w:t>AQA Spec: Human Resources</w:t>
            </w:r>
          </w:p>
        </w:tc>
      </w:tr>
      <w:tr w:rsidR="00254BEA" w14:paraId="66DC74B9" w14:textId="77777777" w:rsidTr="003D2F43">
        <w:tc>
          <w:tcPr>
            <w:tcW w:w="3420" w:type="dxa"/>
          </w:tcPr>
          <w:p w14:paraId="3DB7D915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3.5 Marketing</w:t>
            </w:r>
          </w:p>
        </w:tc>
        <w:tc>
          <w:tcPr>
            <w:tcW w:w="3557" w:type="dxa"/>
          </w:tcPr>
          <w:p w14:paraId="510FE10E" w14:textId="77777777" w:rsidR="00254BEA" w:rsidRDefault="0080238D">
            <w:pPr>
              <w:pStyle w:val="Compact"/>
            </w:pPr>
            <w:r>
              <w:t>Customer needs, market research, segmentation, 4Ps (Product, Price, Promotion, Place), product life cycle.</w:t>
            </w:r>
          </w:p>
        </w:tc>
        <w:tc>
          <w:tcPr>
            <w:tcW w:w="2599" w:type="dxa"/>
          </w:tcPr>
          <w:p w14:paraId="6939BB89" w14:textId="77777777" w:rsidR="00254BEA" w:rsidRDefault="0080238D">
            <w:pPr>
              <w:pStyle w:val="Compact"/>
            </w:pPr>
            <w:r>
              <w:t>SaveMyExams: https://www.savemyexams.com/gcse/business/aqa/17/revision-</w:t>
            </w:r>
            <w:r>
              <w:lastRenderedPageBreak/>
              <w:t>notes/3-5-marketing/</w:t>
            </w:r>
          </w:p>
        </w:tc>
      </w:tr>
      <w:tr w:rsidR="00254BEA" w14:paraId="3AF661EA" w14:textId="77777777" w:rsidTr="003D2F43">
        <w:tc>
          <w:tcPr>
            <w:tcW w:w="3420" w:type="dxa"/>
          </w:tcPr>
          <w:p w14:paraId="3276C403" w14:textId="268E82B3" w:rsidR="00254BEA" w:rsidRDefault="00254BEA">
            <w:pPr>
              <w:pStyle w:val="Compact"/>
            </w:pPr>
          </w:p>
        </w:tc>
        <w:tc>
          <w:tcPr>
            <w:tcW w:w="3557" w:type="dxa"/>
          </w:tcPr>
          <w:p w14:paraId="114A62A9" w14:textId="77777777" w:rsidR="00254BEA" w:rsidRDefault="00254BEA">
            <w:pPr>
              <w:pStyle w:val="Compact"/>
            </w:pPr>
          </w:p>
        </w:tc>
        <w:tc>
          <w:tcPr>
            <w:tcW w:w="2599" w:type="dxa"/>
          </w:tcPr>
          <w:p w14:paraId="6DB7B061" w14:textId="77777777" w:rsidR="00254BEA" w:rsidRDefault="00254BEA">
            <w:pPr>
              <w:pStyle w:val="Compact"/>
            </w:pPr>
          </w:p>
        </w:tc>
      </w:tr>
      <w:tr w:rsidR="00254BEA" w14:paraId="4F0E114A" w14:textId="77777777" w:rsidTr="003D2F43">
        <w:tc>
          <w:tcPr>
            <w:tcW w:w="3420" w:type="dxa"/>
          </w:tcPr>
          <w:p w14:paraId="19171E69" w14:textId="77777777" w:rsidR="00254BEA" w:rsidRDefault="0080238D">
            <w:pPr>
              <w:pStyle w:val="Compact"/>
            </w:pPr>
            <w:r>
              <w:rPr>
                <w:b/>
                <w:bCs/>
              </w:rPr>
              <w:t>3.6 Finance</w:t>
            </w:r>
          </w:p>
        </w:tc>
        <w:tc>
          <w:tcPr>
            <w:tcW w:w="3557" w:type="dxa"/>
          </w:tcPr>
          <w:p w14:paraId="26F651CD" w14:textId="77777777" w:rsidR="00254BEA" w:rsidRDefault="0080238D">
            <w:pPr>
              <w:pStyle w:val="Compact"/>
            </w:pPr>
            <w:r>
              <w:t>Sources of finance, cash flow, revenue/costs/profit, break‑even, financial statements, ratio interpretation.</w:t>
            </w:r>
          </w:p>
        </w:tc>
        <w:tc>
          <w:tcPr>
            <w:tcW w:w="2599" w:type="dxa"/>
          </w:tcPr>
          <w:p w14:paraId="52ACED07" w14:textId="77777777" w:rsidR="00254BEA" w:rsidRDefault="0080238D">
            <w:pPr>
              <w:pStyle w:val="Compact"/>
            </w:pPr>
            <w:r>
              <w:t>SaveMyExams: https://www.savemyexams.com/gcse/business/aqa/17/revision-notes/3-6-finance/</w:t>
            </w:r>
          </w:p>
        </w:tc>
      </w:tr>
    </w:tbl>
    <w:p w14:paraId="4F3E7D2B" w14:textId="77777777" w:rsidR="000B6E4D" w:rsidRPr="000B6E4D" w:rsidRDefault="000B6E4D" w:rsidP="000B6E4D">
      <w:pPr>
        <w:pStyle w:val="BodyText"/>
      </w:pPr>
      <w:bookmarkStart w:id="1" w:name="extra-general-revision-links"/>
    </w:p>
    <w:p w14:paraId="71FFBD78" w14:textId="3542F664" w:rsidR="00254BEA" w:rsidRPr="000B6E4D" w:rsidRDefault="0080238D">
      <w:pPr>
        <w:pStyle w:val="Heading2"/>
        <w:rPr>
          <w:u w:val="single"/>
        </w:rPr>
      </w:pPr>
      <w:r w:rsidRPr="000B6E4D">
        <w:rPr>
          <w:b/>
          <w:bCs/>
          <w:u w:val="single"/>
        </w:rPr>
        <w:t>Extra General Revision Links</w:t>
      </w:r>
    </w:p>
    <w:p w14:paraId="7B14A2D8" w14:textId="77777777" w:rsidR="00254BEA" w:rsidRDefault="0080238D">
      <w:pPr>
        <w:pStyle w:val="Compact"/>
        <w:numPr>
          <w:ilvl w:val="0"/>
          <w:numId w:val="2"/>
        </w:numPr>
      </w:pPr>
      <w:r>
        <w:rPr>
          <w:b/>
          <w:bCs/>
        </w:rPr>
        <w:t>Tutor2U AQA GCSE Business:</w:t>
      </w:r>
      <w:r>
        <w:t xml:space="preserve"> www.tutor2u.net/business</w:t>
      </w:r>
    </w:p>
    <w:p w14:paraId="61B83B38" w14:textId="77777777" w:rsidR="00254BEA" w:rsidRDefault="0080238D">
      <w:pPr>
        <w:pStyle w:val="Compact"/>
        <w:numPr>
          <w:ilvl w:val="0"/>
          <w:numId w:val="2"/>
        </w:numPr>
      </w:pPr>
      <w:r>
        <w:rPr>
          <w:b/>
          <w:bCs/>
        </w:rPr>
        <w:t>AQA GCSE Business Specification:</w:t>
      </w:r>
      <w:r>
        <w:t xml:space="preserve"> www.aqa.org.uk/subjects/business</w:t>
      </w:r>
    </w:p>
    <w:p w14:paraId="73C4ABD5" w14:textId="77777777" w:rsidR="00254BEA" w:rsidRDefault="0080238D">
      <w:pPr>
        <w:pStyle w:val="Compact"/>
        <w:numPr>
          <w:ilvl w:val="0"/>
          <w:numId w:val="2"/>
        </w:numPr>
      </w:pPr>
      <w:r>
        <w:rPr>
          <w:b/>
          <w:bCs/>
        </w:rPr>
        <w:t>BBC Bitesize AQA Business:</w:t>
      </w:r>
      <w:r>
        <w:t xml:space="preserve"> Search “BBC Bitesize AQA Business”</w:t>
      </w:r>
    </w:p>
    <w:p w14:paraId="15227AD5" w14:textId="77777777" w:rsidR="003D2F43" w:rsidRDefault="003D2F43" w:rsidP="003D2F43">
      <w:pPr>
        <w:pStyle w:val="Compact"/>
      </w:pPr>
    </w:p>
    <w:p w14:paraId="56021C8E" w14:textId="395439E9" w:rsidR="003D2F43" w:rsidRPr="003D2F43" w:rsidRDefault="003D2F43" w:rsidP="003D2F43">
      <w:pPr>
        <w:pStyle w:val="Compact"/>
        <w:rPr>
          <w:lang w:val="en-GB"/>
        </w:rPr>
      </w:pPr>
      <w:r w:rsidRPr="000B6E4D">
        <w:rPr>
          <w:b/>
          <w:bCs/>
          <w:sz w:val="32"/>
          <w:szCs w:val="32"/>
        </w:rPr>
        <w:t>On Teams</w:t>
      </w:r>
      <w:r>
        <w:t>:</w:t>
      </w:r>
      <w:r w:rsidRPr="003D2F4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lang w:val="en-GB" w:eastAsia="en-GB"/>
        </w:rPr>
        <w:t xml:space="preserve">  </w:t>
      </w:r>
      <w:hyperlink r:id="rId5" w:history="1">
        <w:r w:rsidRPr="003D2F43">
          <w:rPr>
            <w:rStyle w:val="Hyperlink"/>
            <w:lang w:val="en-GB"/>
          </w:rPr>
          <w:t>General | GCSE Business PowerPoints and Resources | Microsoft Teams</w:t>
        </w:r>
      </w:hyperlink>
      <w:r>
        <w:t xml:space="preserve"> , you will find the following contents:</w:t>
      </w:r>
    </w:p>
    <w:p w14:paraId="4E2CB275" w14:textId="06E7C0C0" w:rsidR="00411717" w:rsidRPr="00411717" w:rsidRDefault="00411717" w:rsidP="00411717">
      <w:pPr>
        <w:pStyle w:val="Compact"/>
        <w:rPr>
          <w:lang w:val="en-GB"/>
        </w:rPr>
      </w:pPr>
      <w:r>
        <w:rPr>
          <w:lang w:val="en-GB"/>
        </w:rPr>
        <w:t>1,</w:t>
      </w:r>
      <w:r w:rsidRPr="00411717">
        <w:rPr>
          <w:lang w:val="en-GB"/>
        </w:rPr>
        <w:t xml:space="preserve"> </w:t>
      </w:r>
      <w:r w:rsidRPr="00411717">
        <w:rPr>
          <w:b/>
          <w:bCs/>
          <w:lang w:val="en-GB"/>
        </w:rPr>
        <w:t>Calculation booklet with answers</w:t>
      </w:r>
    </w:p>
    <w:p w14:paraId="23C71D0E" w14:textId="138E6E95" w:rsidR="00411717" w:rsidRPr="00411717" w:rsidRDefault="00411717" w:rsidP="00411717">
      <w:pPr>
        <w:pStyle w:val="Compact"/>
        <w:rPr>
          <w:lang w:val="en-GB"/>
        </w:rPr>
      </w:pPr>
      <w:r>
        <w:rPr>
          <w:lang w:val="en-GB"/>
        </w:rPr>
        <w:t>2,</w:t>
      </w:r>
      <w:r w:rsidRPr="00411717">
        <w:rPr>
          <w:lang w:val="en-GB"/>
        </w:rPr>
        <w:t xml:space="preserve"> </w:t>
      </w:r>
      <w:r w:rsidRPr="00411717">
        <w:rPr>
          <w:b/>
          <w:bCs/>
          <w:lang w:val="en-GB"/>
        </w:rPr>
        <w:t>PowerPoint slides for all units</w:t>
      </w:r>
    </w:p>
    <w:p w14:paraId="28B260CD" w14:textId="386BC7D9" w:rsidR="00411717" w:rsidRPr="00411717" w:rsidRDefault="00411717" w:rsidP="00411717">
      <w:pPr>
        <w:pStyle w:val="Compact"/>
        <w:rPr>
          <w:lang w:val="en-GB"/>
        </w:rPr>
      </w:pPr>
      <w:r>
        <w:rPr>
          <w:lang w:val="en-GB"/>
        </w:rPr>
        <w:t xml:space="preserve">3, </w:t>
      </w:r>
      <w:r w:rsidRPr="00411717">
        <w:rPr>
          <w:b/>
          <w:bCs/>
          <w:lang w:val="en-GB"/>
        </w:rPr>
        <w:t>Past papers with mark schemes</w:t>
      </w:r>
    </w:p>
    <w:p w14:paraId="5E387395" w14:textId="398F3183" w:rsidR="00411717" w:rsidRPr="00411717" w:rsidRDefault="00411717" w:rsidP="00411717">
      <w:pPr>
        <w:pStyle w:val="Compact"/>
        <w:rPr>
          <w:lang w:val="en-GB"/>
        </w:rPr>
      </w:pPr>
      <w:r>
        <w:rPr>
          <w:lang w:val="en-GB"/>
        </w:rPr>
        <w:t xml:space="preserve">4, </w:t>
      </w:r>
      <w:r w:rsidRPr="00411717">
        <w:rPr>
          <w:b/>
          <w:bCs/>
          <w:lang w:val="en-GB"/>
        </w:rPr>
        <w:t>Model answers for key exam questions</w:t>
      </w:r>
    </w:p>
    <w:p w14:paraId="36B71689" w14:textId="23E8EB14" w:rsidR="00411717" w:rsidRDefault="00411717" w:rsidP="00411717">
      <w:pPr>
        <w:pStyle w:val="Compact"/>
        <w:rPr>
          <w:b/>
          <w:bCs/>
          <w:lang w:val="en-GB"/>
        </w:rPr>
      </w:pPr>
      <w:r>
        <w:rPr>
          <w:lang w:val="en-GB"/>
        </w:rPr>
        <w:t>5,</w:t>
      </w:r>
      <w:r w:rsidRPr="00411717">
        <w:rPr>
          <w:lang w:val="en-GB"/>
        </w:rPr>
        <w:t xml:space="preserve"> </w:t>
      </w:r>
      <w:r w:rsidRPr="00411717">
        <w:rPr>
          <w:b/>
          <w:bCs/>
          <w:lang w:val="en-GB"/>
        </w:rPr>
        <w:t>Revision charts and mind maps</w:t>
      </w:r>
    </w:p>
    <w:p w14:paraId="0F69F146" w14:textId="518F3254" w:rsidR="00411717" w:rsidRDefault="00411717" w:rsidP="00411717">
      <w:pPr>
        <w:pStyle w:val="Compact"/>
        <w:rPr>
          <w:b/>
          <w:bCs/>
          <w:lang w:val="en-GB"/>
        </w:rPr>
      </w:pPr>
      <w:r>
        <w:rPr>
          <w:b/>
          <w:bCs/>
          <w:lang w:val="en-GB"/>
        </w:rPr>
        <w:t>6, Exam structure</w:t>
      </w:r>
      <w:r w:rsidR="00897A47">
        <w:rPr>
          <w:b/>
          <w:bCs/>
          <w:lang w:val="en-GB"/>
        </w:rPr>
        <w:t xml:space="preserve">s </w:t>
      </w:r>
    </w:p>
    <w:p w14:paraId="2E83A0A3" w14:textId="77777777" w:rsidR="000B6E4D" w:rsidRPr="000B6E4D" w:rsidRDefault="000B6E4D" w:rsidP="00411717">
      <w:pPr>
        <w:pStyle w:val="Compact"/>
        <w:rPr>
          <w:lang w:val="en-GB"/>
        </w:rPr>
      </w:pPr>
    </w:p>
    <w:p w14:paraId="6D9E6D63" w14:textId="4CD3CEB4" w:rsidR="000B6E4D" w:rsidRDefault="000B6E4D" w:rsidP="00411717">
      <w:pPr>
        <w:pStyle w:val="Compact"/>
        <w:rPr>
          <w:b/>
          <w:bCs/>
          <w:sz w:val="32"/>
          <w:szCs w:val="32"/>
          <w:lang w:val="en-GB"/>
        </w:rPr>
      </w:pPr>
      <w:r w:rsidRPr="000B6E4D">
        <w:rPr>
          <w:sz w:val="32"/>
          <w:szCs w:val="32"/>
          <w:lang w:val="en-GB"/>
        </w:rPr>
        <w:t>Also use your</w:t>
      </w:r>
      <w:r w:rsidRPr="000B6E4D">
        <w:rPr>
          <w:b/>
          <w:bCs/>
          <w:sz w:val="32"/>
          <w:szCs w:val="32"/>
          <w:lang w:val="en-GB"/>
        </w:rPr>
        <w:t xml:space="preserve"> CGP REVISION BOOK.</w:t>
      </w:r>
    </w:p>
    <w:p w14:paraId="3855D07D" w14:textId="77777777" w:rsidR="000B6E4D" w:rsidRPr="000B6E4D" w:rsidRDefault="000B6E4D" w:rsidP="00411717">
      <w:pPr>
        <w:pStyle w:val="Compact"/>
        <w:rPr>
          <w:b/>
          <w:bCs/>
          <w:i/>
          <w:iCs/>
          <w:sz w:val="32"/>
          <w:szCs w:val="32"/>
          <w:lang w:val="en-GB"/>
        </w:rPr>
      </w:pPr>
    </w:p>
    <w:p w14:paraId="55220A6A" w14:textId="2B9C466F" w:rsidR="000B6E4D" w:rsidRPr="000B6E4D" w:rsidRDefault="000B6E4D" w:rsidP="00411717">
      <w:pPr>
        <w:pStyle w:val="Compact"/>
        <w:rPr>
          <w:b/>
          <w:bCs/>
          <w:i/>
          <w:iCs/>
          <w:sz w:val="32"/>
          <w:szCs w:val="32"/>
          <w:lang w:val="en-GB"/>
        </w:rPr>
      </w:pPr>
      <w:r w:rsidRPr="000B6E4D">
        <w:rPr>
          <w:b/>
          <w:bCs/>
          <w:i/>
          <w:iCs/>
          <w:sz w:val="32"/>
          <w:szCs w:val="32"/>
          <w:lang w:val="en-GB"/>
        </w:rPr>
        <w:t>All The best</w:t>
      </w:r>
    </w:p>
    <w:p w14:paraId="28E90917" w14:textId="77777777" w:rsidR="000B6E4D" w:rsidRPr="000B6E4D" w:rsidRDefault="000B6E4D" w:rsidP="00411717">
      <w:pPr>
        <w:pStyle w:val="Compact"/>
        <w:rPr>
          <w:b/>
          <w:bCs/>
          <w:i/>
          <w:iCs/>
          <w:sz w:val="32"/>
          <w:szCs w:val="32"/>
          <w:lang w:val="en-GB"/>
        </w:rPr>
      </w:pPr>
    </w:p>
    <w:p w14:paraId="5C2F3833" w14:textId="52F26D34" w:rsidR="000B6E4D" w:rsidRPr="00411717" w:rsidRDefault="000B6E4D" w:rsidP="00411717">
      <w:pPr>
        <w:pStyle w:val="Compact"/>
        <w:rPr>
          <w:b/>
          <w:bCs/>
          <w:i/>
          <w:iCs/>
          <w:sz w:val="32"/>
          <w:szCs w:val="32"/>
          <w:lang w:val="en-GB"/>
        </w:rPr>
      </w:pPr>
      <w:r w:rsidRPr="000B6E4D">
        <w:rPr>
          <w:b/>
          <w:bCs/>
          <w:i/>
          <w:iCs/>
          <w:sz w:val="32"/>
          <w:szCs w:val="32"/>
          <w:lang w:val="en-GB"/>
        </w:rPr>
        <w:t>Business Department</w:t>
      </w:r>
    </w:p>
    <w:bookmarkEnd w:id="0"/>
    <w:bookmarkEnd w:id="1"/>
    <w:p w14:paraId="0E5188E7" w14:textId="77777777" w:rsidR="003D2F43" w:rsidRPr="000B6E4D" w:rsidRDefault="003D2F43" w:rsidP="00411717">
      <w:pPr>
        <w:pStyle w:val="Compact"/>
        <w:rPr>
          <w:b/>
          <w:bCs/>
          <w:lang w:val="en-GB"/>
        </w:rPr>
      </w:pPr>
    </w:p>
    <w:sectPr w:rsidR="003D2F43" w:rsidRPr="000B6E4D" w:rsidSect="003D2F43">
      <w:footnotePr>
        <w:numRestart w:val="eachSect"/>
      </w:footnotePr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E40CF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848A2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0775857">
    <w:abstractNumId w:val="0"/>
  </w:num>
  <w:num w:numId="2" w16cid:durableId="184000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EA"/>
    <w:rsid w:val="000B6E4D"/>
    <w:rsid w:val="00254BEA"/>
    <w:rsid w:val="002D5513"/>
    <w:rsid w:val="003D2F43"/>
    <w:rsid w:val="00411717"/>
    <w:rsid w:val="006166FB"/>
    <w:rsid w:val="0080238D"/>
    <w:rsid w:val="00897A47"/>
    <w:rsid w:val="00D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7F01"/>
  <w15:docId w15:val="{FAB4ED71-278D-4E01-BDA5-33F6E0AC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D2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D2F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Htxs-2TBuCmP8P5SSOXQX871QJ2Rw1zT2Cf1d0tRQY01%40thread.tacv2/conversations?groupId=19f50180-c798-4413-8e70-09956a19ffa1&amp;tenantId=b82d5a30-20c9-4720-bd30-97908afcca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Multi Academy Trust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Chantaduc</dc:creator>
  <cp:keywords/>
  <cp:lastModifiedBy>Cecilia Chantaduc</cp:lastModifiedBy>
  <cp:revision>2</cp:revision>
  <dcterms:created xsi:type="dcterms:W3CDTF">2025-12-15T09:36:00Z</dcterms:created>
  <dcterms:modified xsi:type="dcterms:W3CDTF">2025-12-15T09:36:00Z</dcterms:modified>
</cp:coreProperties>
</file>